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8" w:rsidRPr="00C2023F" w:rsidRDefault="001E62D4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3F">
        <w:rPr>
          <w:rFonts w:ascii="Times New Roman" w:hAnsi="Times New Roman" w:cs="Times New Roman"/>
          <w:b/>
          <w:sz w:val="28"/>
          <w:szCs w:val="28"/>
        </w:rPr>
        <w:t>П</w:t>
      </w:r>
      <w:r w:rsidR="00170238" w:rsidRPr="00C2023F">
        <w:rPr>
          <w:rFonts w:ascii="Times New Roman" w:hAnsi="Times New Roman" w:cs="Times New Roman"/>
          <w:b/>
          <w:sz w:val="28"/>
          <w:szCs w:val="28"/>
        </w:rPr>
        <w:t>рограмма работы с обучающимися</w:t>
      </w:r>
      <w:r w:rsidR="00F96CFB">
        <w:rPr>
          <w:rFonts w:ascii="Times New Roman" w:hAnsi="Times New Roman" w:cs="Times New Roman"/>
          <w:b/>
          <w:sz w:val="28"/>
          <w:szCs w:val="28"/>
        </w:rPr>
        <w:t xml:space="preserve"> МБОУ СОШ №4 п. Тавричанка</w:t>
      </w:r>
      <w:r w:rsidR="00170238" w:rsidRPr="00C2023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70238" w:rsidRPr="00C2023F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3F">
        <w:rPr>
          <w:rFonts w:ascii="Times New Roman" w:hAnsi="Times New Roman" w:cs="Times New Roman"/>
          <w:b/>
          <w:sz w:val="28"/>
          <w:szCs w:val="28"/>
        </w:rPr>
        <w:t xml:space="preserve">имеющими </w:t>
      </w:r>
      <w:r w:rsidR="00C2023F" w:rsidRPr="00C2023F">
        <w:rPr>
          <w:rFonts w:ascii="Times New Roman" w:hAnsi="Times New Roman" w:cs="Times New Roman"/>
          <w:b/>
          <w:sz w:val="28"/>
          <w:szCs w:val="28"/>
        </w:rPr>
        <w:t>риск</w:t>
      </w:r>
      <w:r w:rsidR="00C2023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2023F" w:rsidRPr="00C2023F">
        <w:rPr>
          <w:rFonts w:ascii="Times New Roman" w:hAnsi="Times New Roman" w:cs="Times New Roman"/>
          <w:b/>
          <w:sz w:val="28"/>
          <w:szCs w:val="28"/>
        </w:rPr>
        <w:t>учебной неуспешности</w:t>
      </w:r>
      <w:r w:rsidR="00F96CFB">
        <w:rPr>
          <w:rFonts w:ascii="Times New Roman" w:hAnsi="Times New Roman" w:cs="Times New Roman"/>
          <w:b/>
          <w:sz w:val="28"/>
          <w:szCs w:val="28"/>
        </w:rPr>
        <w:t xml:space="preserve"> на 2020-202</w:t>
      </w:r>
      <w:r w:rsidR="008E701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96CF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9"/>
        <w:gridCol w:w="7580"/>
      </w:tblGrid>
      <w:tr w:rsidR="00170238" w:rsidRPr="004A7737" w:rsidTr="00C2023F">
        <w:trPr>
          <w:trHeight w:val="589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C2023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обучающимися, имеющими </w:t>
            </w:r>
            <w:r w:rsidR="00C2023F" w:rsidRPr="00C2023F">
              <w:rPr>
                <w:rFonts w:ascii="Times New Roman" w:hAnsi="Times New Roman" w:cs="Times New Roman"/>
                <w:sz w:val="24"/>
                <w:szCs w:val="24"/>
              </w:rPr>
              <w:t>риски учебной неуспешности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C2023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деятельность участников образовательных отношений по обеспечению успешного усвоения основной образовательной программы </w:t>
            </w:r>
            <w:r w:rsidR="00C2023F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начального,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основного </w:t>
            </w:r>
            <w:r w:rsidR="00C2023F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общего образования учащимися, имеющими </w:t>
            </w:r>
            <w:r w:rsidR="00C2023F">
              <w:rPr>
                <w:rFonts w:ascii="Times New Roman" w:hAnsi="Times New Roman" w:cs="Times New Roman"/>
                <w:sz w:val="22"/>
                <w:szCs w:val="22"/>
              </w:rPr>
              <w:t>риски учебной неуспешности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1. Выявить учащихся, имеющих низкую учебную мотивацию.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2. Создать условия для эффективного обучения и развития учащихся с низкими учебными возможностями.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3. Обеспечить взаимодействие всех участников образовательных отношений, чтобы повысить учебную мотивацию школьников. 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4. Организовать контроль образовательных результатов учащихся с низкой учебной мотивацией 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образовательной организации (ОО) по учебно­воспитательной работе (УВР).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Руководители школьных методических объединений.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23F">
              <w:rPr>
                <w:rFonts w:ascii="Times New Roman" w:hAnsi="Times New Roman" w:cs="Times New Roman"/>
                <w:sz w:val="22"/>
                <w:szCs w:val="22"/>
              </w:rPr>
              <w:t xml:space="preserve">Старший методист.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Педагог­психолог.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Социальный педагог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C2023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202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C202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 учебный год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1. Качественные показатели: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повышение качества образовательных результатов;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организация коммуникативной педагогической среды, способствующей проявлению индивидуальности каждого ученика, самореализации и саморазвитию.</w:t>
            </w:r>
          </w:p>
        </w:tc>
      </w:tr>
      <w:tr w:rsidR="00170238" w:rsidRPr="004A7737" w:rsidTr="00FD3EB9">
        <w:trPr>
          <w:trHeight w:val="60"/>
        </w:trPr>
        <w:tc>
          <w:tcPr>
            <w:tcW w:w="20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2. Количественные показатели: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повышение уровня предметных и метапредметных образовательных результатов;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увеличение показателей среднего балла государственной итоговой аттестации;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увеличение числа участников, призеров, победителей олимпиад и конкурсов;</w:t>
            </w:r>
          </w:p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– увеличение числа обучающихся, занимающихся в кружках и секциях дополнительного образования</w:t>
            </w:r>
          </w:p>
        </w:tc>
      </w:tr>
    </w:tbl>
    <w:p w:rsidR="00170238" w:rsidRPr="004A7737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C2023F" w:rsidRDefault="00C2023F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170238" w:rsidRDefault="00170238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  <w:r w:rsidRPr="004A7737">
        <w:rPr>
          <w:rFonts w:ascii="Times New Roman" w:hAnsi="Times New Roman" w:cs="Times New Roman"/>
        </w:rPr>
        <w:lastRenderedPageBreak/>
        <w:t>2. Аналитико­прогностическое обоснование программы</w:t>
      </w: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</w:rPr>
      </w:pPr>
    </w:p>
    <w:p w:rsidR="00170238" w:rsidRPr="004A7737" w:rsidRDefault="00170238" w:rsidP="00170238">
      <w:pPr>
        <w:pStyle w:val="13NormDOC-header-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2.1.а</w:t>
      </w:r>
      <w:r w:rsidRPr="004A7737">
        <w:rPr>
          <w:rFonts w:ascii="Times New Roman" w:eastAsia="Times New Roman" w:hAnsi="Times New Roman" w:cs="Times New Roman"/>
          <w:caps w:val="0"/>
          <w:spacing w:val="-1"/>
          <w:sz w:val="22"/>
          <w:szCs w:val="22"/>
        </w:rPr>
        <w:t>нализ внешних факторов, влияющих на учебную мотивацию школьников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Администрация и педагогический коллектив школы провели PEST­анализ, который помогает выявить политические (Political), экономические (Economic), социальные (Social) и технологические (Technological) факторы внешней среды. Положительные и отрицательные факторы внешней среды, влияющие на учебную мотивацию школьников, – в таблице 1</w:t>
      </w:r>
    </w:p>
    <w:p w:rsidR="00170238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A7737">
        <w:rPr>
          <w:rFonts w:ascii="Times New Roman" w:hAnsi="Times New Roman" w:cs="Times New Roman"/>
          <w:b/>
          <w:sz w:val="22"/>
          <w:szCs w:val="22"/>
        </w:rPr>
        <w:t>Таблица 1. Факторы внешней среды, которые влияют на учебную мотивацию школьников</w:t>
      </w:r>
    </w:p>
    <w:tbl>
      <w:tblPr>
        <w:tblW w:w="10274" w:type="dxa"/>
        <w:tblInd w:w="-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544"/>
        <w:gridCol w:w="4745"/>
      </w:tblGrid>
      <w:tr w:rsidR="00170238" w:rsidRPr="004A7737" w:rsidTr="00C66313">
        <w:trPr>
          <w:trHeight w:val="6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Факторы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Положительные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Отрицательные</w:t>
            </w:r>
          </w:p>
        </w:tc>
      </w:tr>
      <w:tr w:rsidR="00170238" w:rsidRPr="004A7737" w:rsidTr="00C66313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Политические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Личностный результат образовательной деятельности определяют ФГОС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Повышение спектра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170238" w:rsidRPr="004A7737" w:rsidTr="00C66313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C2023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Экономические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высококвалифицированных педагогов, эффективная система финансирования школы 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Низкий уровень жизни общества, отсутствие профессиональных ориентиров</w:t>
            </w:r>
          </w:p>
        </w:tc>
      </w:tr>
      <w:tr w:rsidR="00170238" w:rsidRPr="004A7737" w:rsidTr="00C66313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C6631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Социальные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170238" w:rsidRPr="004A7737" w:rsidTr="00C66313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Технологические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Закрепление в законодательстве необходимых трудовых умений учителя: применять современные психолого­педагогические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Ориентация обучающихся и педагогов на успешную сдачу 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</w:t>
            </w:r>
          </w:p>
        </w:tc>
      </w:tr>
    </w:tbl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>Вывод:</w:t>
      </w:r>
      <w:r w:rsidRPr="004A7737">
        <w:rPr>
          <w:rFonts w:ascii="Times New Roman" w:hAnsi="Times New Roman" w:cs="Times New Roman"/>
          <w:sz w:val="22"/>
          <w:szCs w:val="22"/>
        </w:rPr>
        <w:t xml:space="preserve"> 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 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6313" w:rsidRDefault="00C66313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0238" w:rsidRPr="004A7737" w:rsidRDefault="00170238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737">
        <w:rPr>
          <w:rFonts w:ascii="Times New Roman" w:hAnsi="Times New Roman" w:cs="Times New Roman"/>
          <w:b/>
          <w:sz w:val="22"/>
          <w:szCs w:val="22"/>
        </w:rPr>
        <w:lastRenderedPageBreak/>
        <w:t>2.2. Анализ перспектив повышения учебной мотивации школьников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Администрация и педагогический коллектив провели SWOT­анализ, чтобы выявить сильные стороны (Strengths), слабые стороны (Weaknesses), возможности (Opportunities) и угрозы повышения мотивации школьников, – таблица 2. </w:t>
      </w:r>
    </w:p>
    <w:p w:rsidR="00170238" w:rsidRPr="004A7737" w:rsidRDefault="00170238" w:rsidP="00170238">
      <w:pPr>
        <w:pStyle w:val="13NormDOC-txt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737">
        <w:rPr>
          <w:rFonts w:ascii="Times New Roman" w:hAnsi="Times New Roman" w:cs="Times New Roman"/>
          <w:b/>
          <w:sz w:val="22"/>
          <w:szCs w:val="22"/>
        </w:rPr>
        <w:t>Таблица 2. Перспективы повышения учебной мотивации школьников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6"/>
        <w:gridCol w:w="2551"/>
        <w:gridCol w:w="2410"/>
        <w:gridCol w:w="2622"/>
      </w:tblGrid>
      <w:tr w:rsidR="00170238" w:rsidRPr="004A7737" w:rsidTr="00FD3EB9">
        <w:trPr>
          <w:trHeight w:val="60"/>
          <w:tblHeader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b/>
                <w:sz w:val="22"/>
                <w:szCs w:val="22"/>
              </w:rPr>
              <w:t>Слабые стороны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b/>
                <w:sz w:val="22"/>
                <w:szCs w:val="22"/>
              </w:rPr>
              <w:t>Благоприятные возможности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b/>
                <w:sz w:val="22"/>
                <w:szCs w:val="22"/>
              </w:rPr>
              <w:t>Риски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Созданы условия для выполнения требований к реализации основной образовательной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Недостаточное материально-техническое оснащение образовательной деятельности современным оборудованием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Улучшение материально-технического обеспечения образовательной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Изменение социально-экономической ситуации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Созданы условия для организации образовательной 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 Недостаточное количество учебных кабинетов для реализации различных направлений внеурочной деятельности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Создание культурно­образовательного центра с привлечением социальных партнеров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Отсутствие необходимых помещений для образовательной деятельности по запросам участников образовательных отношений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Применение инновационных технологий в образовательной 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Недостаточное владение активными методами обучения для повышения учебной мотивации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Непонимание педагогами необходимости профессионального роста</w:t>
            </w:r>
          </w:p>
        </w:tc>
      </w:tr>
      <w:tr w:rsidR="00170238" w:rsidRPr="004A7737" w:rsidTr="00FD3EB9">
        <w:trPr>
          <w:trHeight w:val="2546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Наличие профессионально работающих педагогов, победителей и лауреатов различных профессиональных конкурсов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Увеличение доли работающих педагогов пенсионного возраста; уровень заработной; профессиональное выгорание; незащищенность педагога перед субъектами образовательных отношений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Квалифицированный кадровый состав, омоложение педагогических кадров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Отток молодых кадров из-за низкой профессиональной мотивации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Наличие программы внутренней системы оценки качества образования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Невысокие результаты успеваемости учащихся и результаты ГИА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образования, мотивации к учебной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Недостаточная подготовленность кадров, низкая мотивация обучающихся</w:t>
            </w:r>
          </w:p>
        </w:tc>
      </w:tr>
      <w:tr w:rsidR="00170238" w:rsidRPr="004A7737" w:rsidTr="00FD3EB9">
        <w:trPr>
          <w:trHeight w:val="60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Недостаточно развитые методы оценки учебной мотивации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учащихся с низким интеллектуальным уровнем</w:t>
            </w:r>
          </w:p>
        </w:tc>
      </w:tr>
    </w:tbl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66313" w:rsidRDefault="00C66313" w:rsidP="00170238">
      <w:pPr>
        <w:pStyle w:val="13NormDOC-txt"/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</w:p>
    <w:p w:rsidR="00170238" w:rsidRPr="00C66313" w:rsidRDefault="00170238" w:rsidP="00170238">
      <w:pPr>
        <w:pStyle w:val="13NormDOC-txt"/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66313">
        <w:rPr>
          <w:rFonts w:ascii="Times New Roman" w:hAnsi="Times New Roman" w:cs="Times New Roman"/>
          <w:b/>
          <w:sz w:val="22"/>
          <w:szCs w:val="22"/>
        </w:rPr>
        <w:lastRenderedPageBreak/>
        <w:t>2.3.Оценка благоприятных возможностей программы работы с обучающимися, имеющими низкую учебную мотивацию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1. Высокая вероятность.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4A7737">
        <w:rPr>
          <w:rFonts w:ascii="Times New Roman" w:hAnsi="Times New Roman" w:cs="Times New Roman"/>
          <w:spacing w:val="-4"/>
          <w:sz w:val="22"/>
          <w:szCs w:val="22"/>
        </w:rPr>
        <w:t>2. Средняя вероятность. Расширение возможностей диалогового взаимодействия учителей и родителей учащихся; создание культурно­образовательных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3. Низкая вероятность. Существенное усиление влияния школы как общественной организации на социум в районе и городе.</w:t>
      </w:r>
    </w:p>
    <w:p w:rsidR="00170238" w:rsidRDefault="00170238" w:rsidP="00170238">
      <w:pPr>
        <w:pStyle w:val="13NormDOC-txt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txt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2.4. Оценка рисков программы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1. Средняя вероятность. 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2. Низкая вероятность. Изменение социально-экономической ситуации; препятствия незапланированного стихийного характера.</w:t>
      </w:r>
    </w:p>
    <w:p w:rsidR="00170238" w:rsidRPr="004A7737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 xml:space="preserve">Вывод: </w:t>
      </w:r>
      <w:r w:rsidRPr="004A7737">
        <w:rPr>
          <w:rFonts w:ascii="Times New Roman" w:hAnsi="Times New Roman" w:cs="Times New Roman"/>
          <w:sz w:val="22"/>
          <w:szCs w:val="22"/>
        </w:rPr>
        <w:t xml:space="preserve">основными направлениями деятельности школы по повышению учебной мотивации учащихся являются: 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повышение уровня профессиональной компетенции учителя;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материально-техническое обеспечение образовательной деятельности;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разработка индивидуальных образовательных траекторий для школьников с низкой учебной мотивацией;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вовлечение учащихся в систему дополнительного образования;</w:t>
      </w:r>
    </w:p>
    <w:p w:rsidR="00170238" w:rsidRPr="004A7737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развитие взаимодействия с родителями.</w:t>
      </w: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  <w:lang w:val="en-US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C66313" w:rsidRDefault="00C66313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4A7737">
        <w:rPr>
          <w:rFonts w:ascii="Times New Roman" w:hAnsi="Times New Roman" w:cs="Times New Roman"/>
        </w:rPr>
        <w:lastRenderedPageBreak/>
        <w:t>3. Основные мероприятия по реализации программы</w:t>
      </w:r>
    </w:p>
    <w:tbl>
      <w:tblPr>
        <w:tblW w:w="10490" w:type="dxa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693"/>
        <w:gridCol w:w="1560"/>
        <w:gridCol w:w="2693"/>
      </w:tblGrid>
      <w:tr w:rsidR="00170238" w:rsidRPr="004A7737" w:rsidTr="00C66313">
        <w:trPr>
          <w:trHeight w:val="60"/>
          <w:tblHeader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4A7737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170238" w:rsidRPr="004A7737" w:rsidTr="00C66313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Работа с учащимися, имеющими низкую учебную мотивацию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оперативную информацию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C66313" w:rsidP="00C6631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Педагог­психолог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Провести индивидуальные консультации с учащимися по результатам контрольных работ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темы, которые учащийся не освоил, и причины неусвоения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C66313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Учитель­предметник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Разработать индивидуальные образовательные траектории для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работу с учащимися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C66313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Учитель­предметник, 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Помочь сформировать портфолио учащимся с низкой мотивацией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объективную информацию об успехах учащегося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Помочь учащимся контролировать свои учебные результаты через электронный дневник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объективные результаты учебной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объем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соответствие объема заданий требованиям СанПиН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темы, которые учащийся не освоил, и причины их неусвоения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 плану ВШК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психологические тренинги по диагностике тревожности и снижению уровня тревожности учащихся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Выявить причины школьной тревожности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 плану ВШК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Педагог­психолог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ВР, 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отдых учащихся в каникулярное время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досуговую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я по ВР, 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досуговую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ВР,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br/>
              <w:t>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Вовлечь в социально­значимую деятельность 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досуговую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ВР, 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профессиональные интересы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ВР,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br/>
              <w:t>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lastRenderedPageBreak/>
              <w:t>Работа с педагогическими работниками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Проконтролировать качество преподавания учебных предметов через посещение занятий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темы, которые учащийся не освоил, и причины неусвоения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 плану ВШК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совещание при директоре с целью выявления проблем неуспеваемости отдельных учащихся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Определить план работы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качество оценивания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объективную информацию о системе оценивания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качество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причины невыполнения заданий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Проанализировать, как педагог контролирует предварительные итоги успеваемости класса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«группу риска» по предметам учебного плана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Проконсультировать молодых учителей, вновь прибывших учителей, работающих с учащимися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Выяснить проблемные места при обучении немотивированных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УВР,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br/>
              <w:t>педагог­психолог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мастер­классы, практикумы для освоения педагогических технологий, повышающих учебную мотивацию школьников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курсовую подготовку учителей по проблеме обучения школьников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Работа с родителями учащихся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Провести консультации с родителями 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 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родительские собрания по вопросам психологических и возрастных особенностей учащихся, ответственности родителей за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воспитание и обучение детей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руководитель, педагог­психолог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Ознакомить родителей с результатами учебной деятельности ребенка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Посетить семьи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условия проживания и воспитания в семье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руководитель, социальный педагог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Привлечь родителей к участию в общешкольной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Проконтролировать количество входов родителей в электронный дневник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систему открытых уроков для родителей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участие родителей в разработке индивидуальной образовательной траектории для учащегося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70238" w:rsidRPr="004A7737" w:rsidTr="00C66313">
        <w:trPr>
          <w:trHeight w:val="6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Разработать программу работы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Сформировать банк данных о семьях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информацию о семьях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Социальный педагог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совместную деятельность школы и комиссии по делам несовершеннолетних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сетевое взаимодействие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 социальный педагог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Подготовить педагогический совет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проведение педагогических советов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 плану ВШК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Включить в положение о внутренней системе оценки качества образования раздел о работе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формирование фонда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наличие оценочных средств с разным уровнем сложности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Разработать в программе повышения качества образования подпрограмму по работе с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Июнь – август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Проанализировать результаты образовательной деятельности и скорректировать работу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низкие результаты для планирования действий по повышению мотивации обучения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Май – июнь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Оценить материально­техническое и информационное обеспечение образовательной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Май – июнь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Выявить потребности учащихся для развития их творческих возможностей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Май – июнь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Проконтролировать качество ведения учителем школьной документации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Проанализировать, как учитель планирует оценочную деятельность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использование кодификаторов при составлении стандартизированных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использование кодификаторов УУД при разработке метапредметных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Провести заседание школьных методических объединений по разработке плана мероприятий по формированию успешности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Включить в программу по повышению учебной мотивации школьников план методической работы с учителями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Апрель – 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 руководители методических объединений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возможные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Прогнозировать результаты ГИА учащихся, имеющих низкую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Спланировать работу с выпускниками из «группы риска» по успешному прохождению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психолого­педагогическую и социальную поддержку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Разработать план психолого­педагогической и социальной поддержки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Июнь, август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Педагог­психолог, социальный педагог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Проанализировать уровень сформированности социальных компетенций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формирование ценностно­смысловых и моральных норм, межличностных отношений в ученическом коллективе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УВР, </w:t>
            </w:r>
            <w:r w:rsidRPr="004A7737">
              <w:rPr>
                <w:rFonts w:ascii="Times New Roman" w:hAnsi="Times New Roman" w:cs="Times New Roman"/>
                <w:sz w:val="22"/>
                <w:szCs w:val="22"/>
              </w:rPr>
              <w:br/>
              <w:t>педагог­психолог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Проанализировать уровень мотивации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Выявить готовность к выбору направления профильного образования, самообразованию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УВР, педагог­психолог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учет достижений планируемых результатов учебной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170238" w:rsidRPr="004A7737" w:rsidTr="00C66313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Организовать учет достижений в разных видах деятельности (социальной, трудовой, коммуникативной, физкультурно­оздоровительной и др.)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4A7737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773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</w:tc>
      </w:tr>
    </w:tbl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4A7737">
        <w:rPr>
          <w:rFonts w:ascii="Times New Roman" w:hAnsi="Times New Roman" w:cs="Times New Roman"/>
        </w:rPr>
        <w:t>4. Механизм управления программой работы с обучающимися, имеющими низкую учебную мотивацию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>Руководитель ОО</w:t>
      </w:r>
      <w:r w:rsidRPr="004A7737">
        <w:rPr>
          <w:rFonts w:ascii="Times New Roman" w:hAnsi="Times New Roman" w:cs="Times New Roman"/>
          <w:sz w:val="22"/>
          <w:szCs w:val="22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>Педагогический совет</w:t>
      </w:r>
      <w:r w:rsidRPr="004A7737">
        <w:rPr>
          <w:rFonts w:ascii="Times New Roman" w:hAnsi="Times New Roman" w:cs="Times New Roman"/>
          <w:sz w:val="22"/>
          <w:szCs w:val="22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 xml:space="preserve">Заместитель </w:t>
      </w:r>
      <w:r w:rsidR="00C66313">
        <w:rPr>
          <w:rStyle w:val="Bold"/>
          <w:rFonts w:ascii="Times New Roman" w:hAnsi="Times New Roman" w:cs="Times New Roman"/>
          <w:sz w:val="22"/>
          <w:szCs w:val="22"/>
        </w:rPr>
        <w:t>директора</w:t>
      </w:r>
      <w:r w:rsidRPr="004A7737">
        <w:rPr>
          <w:rStyle w:val="Bold"/>
          <w:rFonts w:ascii="Times New Roman" w:hAnsi="Times New Roman" w:cs="Times New Roman"/>
          <w:sz w:val="22"/>
          <w:szCs w:val="22"/>
        </w:rPr>
        <w:t xml:space="preserve"> по учебно­воспитательной работе</w:t>
      </w:r>
      <w:r w:rsidRPr="004A7737">
        <w:rPr>
          <w:rFonts w:ascii="Times New Roman" w:hAnsi="Times New Roman" w:cs="Times New Roman"/>
          <w:sz w:val="22"/>
          <w:szCs w:val="22"/>
        </w:rPr>
        <w:t xml:space="preserve">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Организует контроль за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 xml:space="preserve">Методическое объединение школы </w:t>
      </w:r>
      <w:r w:rsidRPr="004A7737">
        <w:rPr>
          <w:rFonts w:ascii="Times New Roman" w:hAnsi="Times New Roman" w:cs="Times New Roman"/>
          <w:sz w:val="22"/>
          <w:szCs w:val="22"/>
        </w:rPr>
        <w:t xml:space="preserve">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</w:t>
      </w:r>
      <w:r w:rsidRPr="004A7737">
        <w:rPr>
          <w:rFonts w:ascii="Times New Roman" w:hAnsi="Times New Roman" w:cs="Times New Roman"/>
          <w:sz w:val="22"/>
          <w:szCs w:val="22"/>
        </w:rPr>
        <w:lastRenderedPageBreak/>
        <w:t xml:space="preserve">рамках предметных объединений и анализирует их с целью выявления положительного опыта работы с низкомотивированными учащимися.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Style w:val="Bold"/>
          <w:rFonts w:ascii="Times New Roman" w:hAnsi="Times New Roman" w:cs="Times New Roman"/>
          <w:sz w:val="22"/>
          <w:szCs w:val="22"/>
        </w:rPr>
        <w:t xml:space="preserve">Социально­психологическая служба </w:t>
      </w:r>
      <w:r w:rsidRPr="004A7737">
        <w:rPr>
          <w:rFonts w:ascii="Times New Roman" w:hAnsi="Times New Roman" w:cs="Times New Roman"/>
          <w:sz w:val="22"/>
          <w:szCs w:val="22"/>
        </w:rPr>
        <w:t xml:space="preserve">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 </w:t>
      </w: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170238" w:rsidRPr="004A7737" w:rsidRDefault="00170238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4A7737">
        <w:rPr>
          <w:rFonts w:ascii="Times New Roman" w:hAnsi="Times New Roman" w:cs="Times New Roman"/>
        </w:rPr>
        <w:t>5. Ожидаемый результат реализации программы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После реализации программы работы с обучающимися, имеющими низкую учебную мотивацию, в образовательной деятельности произойдут следующие изменения: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1. Повысится уровень мотивации к обучению и целенаправленной познавательной деятельности учащихся.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2. Повысится уровень предметных и метапредметных результатов учебной деятельности по итогам промежуточной аттестации.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3. Повысится количество обучающихся с положительными результатами государственной итоговой аттестации.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 xml:space="preserve">4. Сформируется готовность и способность учащихся к саморазвитию и самообразованию на основе мотивации к обучению и познанию. </w:t>
      </w:r>
    </w:p>
    <w:p w:rsidR="00170238" w:rsidRPr="004A7737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7737">
        <w:rPr>
          <w:rFonts w:ascii="Times New Roman" w:hAnsi="Times New Roman" w:cs="Times New Roman"/>
          <w:sz w:val="22"/>
          <w:szCs w:val="22"/>
        </w:rPr>
        <w:t>5. 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70238" w:rsidRPr="004A7737" w:rsidRDefault="00170238" w:rsidP="00170238">
      <w:pPr>
        <w:pStyle w:val="13NormDOC-txt"/>
        <w:tabs>
          <w:tab w:val="center" w:pos="4078"/>
          <w:tab w:val="left" w:pos="5374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txt"/>
        <w:tabs>
          <w:tab w:val="center" w:pos="4078"/>
          <w:tab w:val="left" w:pos="5374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E4CD1" w:rsidRDefault="005E4CD1"/>
    <w:sectPr w:rsidR="005E4CD1" w:rsidSect="00FF18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AD" w:rsidRDefault="009C31AD" w:rsidP="00170238">
      <w:pPr>
        <w:spacing w:after="0" w:line="240" w:lineRule="auto"/>
      </w:pPr>
      <w:r>
        <w:separator/>
      </w:r>
    </w:p>
  </w:endnote>
  <w:endnote w:type="continuationSeparator" w:id="1">
    <w:p w:rsidR="009C31AD" w:rsidRDefault="009C31AD" w:rsidP="0017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AD" w:rsidRDefault="009C31AD" w:rsidP="00170238">
      <w:pPr>
        <w:spacing w:after="0" w:line="240" w:lineRule="auto"/>
      </w:pPr>
      <w:r>
        <w:separator/>
      </w:r>
    </w:p>
  </w:footnote>
  <w:footnote w:type="continuationSeparator" w:id="1">
    <w:p w:rsidR="009C31AD" w:rsidRDefault="009C31AD" w:rsidP="0017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2251"/>
    </w:sdtPr>
    <w:sdtContent>
      <w:p w:rsidR="00170238" w:rsidRDefault="000A341F">
        <w:pPr>
          <w:pStyle w:val="a4"/>
          <w:jc w:val="right"/>
        </w:pPr>
        <w:fldSimple w:instr=" PAGE   \* MERGEFORMAT ">
          <w:r w:rsidR="008E701D">
            <w:rPr>
              <w:noProof/>
            </w:rPr>
            <w:t>1</w:t>
          </w:r>
        </w:fldSimple>
      </w:p>
    </w:sdtContent>
  </w:sdt>
  <w:p w:rsidR="00170238" w:rsidRDefault="001702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2975"/>
    <w:multiLevelType w:val="hybridMultilevel"/>
    <w:tmpl w:val="5F62A3A4"/>
    <w:lvl w:ilvl="0" w:tplc="DF123F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238"/>
    <w:rsid w:val="000A341F"/>
    <w:rsid w:val="00115F3E"/>
    <w:rsid w:val="00170238"/>
    <w:rsid w:val="001E62D4"/>
    <w:rsid w:val="00341C23"/>
    <w:rsid w:val="003847C8"/>
    <w:rsid w:val="005E4CD1"/>
    <w:rsid w:val="006E5177"/>
    <w:rsid w:val="008729E4"/>
    <w:rsid w:val="008E701D"/>
    <w:rsid w:val="009C31AD"/>
    <w:rsid w:val="00C2023F"/>
    <w:rsid w:val="00C66313"/>
    <w:rsid w:val="00E35122"/>
    <w:rsid w:val="00F9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170238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170238"/>
    <w:rPr>
      <w:b/>
    </w:rPr>
  </w:style>
  <w:style w:type="paragraph" w:customStyle="1" w:styleId="a3">
    <w:name w:val="[Без стиля]"/>
    <w:rsid w:val="001702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abl-txt">
    <w:name w:val="17PRIL-tabl-txt"/>
    <w:basedOn w:val="a"/>
    <w:uiPriority w:val="99"/>
    <w:rsid w:val="00170238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header-1">
    <w:name w:val="13NormDOC-header-1"/>
    <w:basedOn w:val="a"/>
    <w:uiPriority w:val="99"/>
    <w:rsid w:val="00170238"/>
    <w:pPr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eastAsia="Calibri" w:hAnsi="TextBookC" w:cs="TextBookC"/>
      <w:b/>
      <w:bCs/>
      <w:color w:val="000000"/>
      <w:spacing w:val="-2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170238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170238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170238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Calibri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styleId="a4">
    <w:name w:val="header"/>
    <w:basedOn w:val="a"/>
    <w:link w:val="a5"/>
    <w:uiPriority w:val="99"/>
    <w:unhideWhenUsed/>
    <w:rsid w:val="0017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238"/>
  </w:style>
  <w:style w:type="paragraph" w:styleId="a6">
    <w:name w:val="footer"/>
    <w:basedOn w:val="a"/>
    <w:link w:val="a7"/>
    <w:uiPriority w:val="99"/>
    <w:semiHidden/>
    <w:unhideWhenUsed/>
    <w:rsid w:val="0017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238"/>
  </w:style>
  <w:style w:type="paragraph" w:styleId="a8">
    <w:name w:val="Balloon Text"/>
    <w:basedOn w:val="a"/>
    <w:link w:val="a9"/>
    <w:uiPriority w:val="99"/>
    <w:semiHidden/>
    <w:unhideWhenUsed/>
    <w:rsid w:val="00C2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</cp:revision>
  <dcterms:created xsi:type="dcterms:W3CDTF">2020-12-03T05:44:00Z</dcterms:created>
  <dcterms:modified xsi:type="dcterms:W3CDTF">2021-09-08T07:21:00Z</dcterms:modified>
</cp:coreProperties>
</file>